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74E3" w14:textId="7260762A" w:rsidR="006E3BF2" w:rsidRPr="00E72BF5" w:rsidRDefault="006E3BF2" w:rsidP="004B44BD">
      <w:pPr>
        <w:ind w:left="-1134"/>
        <w:rPr>
          <w:rFonts w:ascii="Times New Roman" w:eastAsia="Times New Roman" w:hAnsi="Times New Roman" w:cs="Times New Roman"/>
          <w:lang w:eastAsia="fr-FR"/>
        </w:rPr>
      </w:pPr>
      <w:r w:rsidRPr="00E72BF5">
        <w:rPr>
          <w:rFonts w:ascii="Times New Roman" w:eastAsia="Times New Roman" w:hAnsi="Times New Roman" w:cs="Times New Roman"/>
          <w:lang w:eastAsia="fr-FR"/>
        </w:rPr>
        <w:fldChar w:fldCharType="begin"/>
      </w:r>
      <w:r w:rsidR="004B44BD" w:rsidRPr="00E72BF5">
        <w:rPr>
          <w:rFonts w:ascii="Times New Roman" w:eastAsia="Times New Roman" w:hAnsi="Times New Roman" w:cs="Times New Roman"/>
          <w:lang w:eastAsia="fr-FR"/>
        </w:rPr>
        <w:instrText xml:space="preserve"> INCLUDEPICTURE "\\\\advnasvm-nas\\var\\folders\\89\\qm88qrpx6f526yw5njk9_fv00000gq\\T\\com.microsoft.Word\\WebArchiveCopyPasteTempFiles\\logo-filnemus.png" \* MERGEFORMAT </w:instrText>
      </w:r>
      <w:r w:rsidRPr="00E72BF5">
        <w:rPr>
          <w:rFonts w:ascii="Times New Roman" w:eastAsia="Times New Roman" w:hAnsi="Times New Roman" w:cs="Times New Roman"/>
          <w:lang w:eastAsia="fr-FR"/>
        </w:rPr>
        <w:fldChar w:fldCharType="end"/>
      </w:r>
    </w:p>
    <w:p w14:paraId="52AE8B8E" w14:textId="41073A27" w:rsidR="004B44BD" w:rsidRPr="00E72BF5" w:rsidRDefault="004B44BD" w:rsidP="004B44BD">
      <w:pPr>
        <w:jc w:val="center"/>
        <w:rPr>
          <w:b/>
          <w:bCs/>
          <w:sz w:val="28"/>
          <w:szCs w:val="28"/>
        </w:rPr>
      </w:pPr>
      <w:r w:rsidRPr="00E72BF5">
        <w:rPr>
          <w:b/>
          <w:bCs/>
          <w:sz w:val="28"/>
          <w:szCs w:val="28"/>
        </w:rPr>
        <w:t xml:space="preserve">Guide </w:t>
      </w:r>
      <w:r w:rsidR="00612FA8" w:rsidRPr="00E72BF5">
        <w:rPr>
          <w:b/>
          <w:bCs/>
          <w:sz w:val="28"/>
          <w:szCs w:val="28"/>
        </w:rPr>
        <w:t>de</w:t>
      </w:r>
      <w:r w:rsidRPr="00E72BF5">
        <w:rPr>
          <w:b/>
          <w:bCs/>
          <w:sz w:val="28"/>
          <w:szCs w:val="28"/>
        </w:rPr>
        <w:t xml:space="preserve"> fonctionnement </w:t>
      </w:r>
      <w:r w:rsidR="00612FA8" w:rsidRPr="00E72BF5">
        <w:rPr>
          <w:b/>
          <w:bCs/>
          <w:sz w:val="28"/>
          <w:szCs w:val="28"/>
        </w:rPr>
        <w:t xml:space="preserve">des </w:t>
      </w:r>
      <w:r w:rsidRPr="00E72BF5">
        <w:rPr>
          <w:b/>
          <w:bCs/>
          <w:sz w:val="28"/>
          <w:szCs w:val="28"/>
        </w:rPr>
        <w:t>RCP post-génomique</w:t>
      </w:r>
      <w:r w:rsidR="00612FA8" w:rsidRPr="00E72BF5">
        <w:rPr>
          <w:b/>
          <w:bCs/>
          <w:sz w:val="28"/>
          <w:szCs w:val="28"/>
        </w:rPr>
        <w:t>s</w:t>
      </w:r>
      <w:r w:rsidRPr="00E72BF5">
        <w:rPr>
          <w:b/>
          <w:bCs/>
          <w:sz w:val="28"/>
          <w:szCs w:val="28"/>
        </w:rPr>
        <w:t xml:space="preserve"> </w:t>
      </w:r>
      <w:r w:rsidR="00612FA8" w:rsidRPr="00E72BF5">
        <w:rPr>
          <w:b/>
          <w:bCs/>
          <w:sz w:val="28"/>
          <w:szCs w:val="28"/>
        </w:rPr>
        <w:t>nationales</w:t>
      </w:r>
      <w:r w:rsidR="00452E6A" w:rsidRPr="00E72BF5">
        <w:rPr>
          <w:b/>
          <w:bCs/>
          <w:sz w:val="28"/>
          <w:szCs w:val="28"/>
        </w:rPr>
        <w:t xml:space="preserve"> Filnemus</w:t>
      </w:r>
    </w:p>
    <w:p w14:paraId="0D2CA034" w14:textId="31503F9D" w:rsidR="004B44BD" w:rsidRPr="00E72BF5" w:rsidRDefault="004B44BD" w:rsidP="004B44BD"/>
    <w:p w14:paraId="431B075A" w14:textId="503DA641" w:rsidR="004B44BD" w:rsidRPr="00E72BF5" w:rsidRDefault="006A2FE7" w:rsidP="00D25F68">
      <w:pPr>
        <w:jc w:val="both"/>
      </w:pPr>
      <w:r w:rsidRPr="00E72BF5">
        <w:t>P</w:t>
      </w:r>
      <w:r w:rsidR="004F6F45" w:rsidRPr="00E72BF5">
        <w:t xml:space="preserve">rocédure destinée aux cliniciens et généticiens pour assurer </w:t>
      </w:r>
      <w:r w:rsidR="00A66DC1" w:rsidRPr="00E72BF5">
        <w:t>le bon fonctionnement de la Réunion de Concertation Pluridisciplinaire post-génomique nationale Filnemus</w:t>
      </w:r>
      <w:r w:rsidR="004F6F45" w:rsidRPr="00E72BF5">
        <w:t>.</w:t>
      </w:r>
    </w:p>
    <w:p w14:paraId="5A99FA0E" w14:textId="77777777" w:rsidR="00D25F68" w:rsidRPr="00E72BF5" w:rsidRDefault="00D25F68" w:rsidP="00D25F68">
      <w:pPr>
        <w:jc w:val="both"/>
      </w:pPr>
    </w:p>
    <w:p w14:paraId="774D87A3" w14:textId="0A863335" w:rsidR="004F6F45" w:rsidRPr="00E72BF5" w:rsidRDefault="004F6F45" w:rsidP="00D25F68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72BF5">
        <w:rPr>
          <w:b/>
          <w:bCs/>
        </w:rPr>
        <w:t>Objectif de la RCP post-génomique nationale</w:t>
      </w:r>
    </w:p>
    <w:p w14:paraId="7714CB3C" w14:textId="4ABDD2CD" w:rsidR="004F6F45" w:rsidRPr="00E72BF5" w:rsidRDefault="004F6F45" w:rsidP="00CE03C0">
      <w:pPr>
        <w:pStyle w:val="Paragraphedeliste"/>
        <w:numPr>
          <w:ilvl w:val="0"/>
          <w:numId w:val="6"/>
        </w:numPr>
        <w:ind w:left="284" w:hanging="284"/>
        <w:jc w:val="both"/>
      </w:pPr>
      <w:r w:rsidRPr="00E72BF5">
        <w:t xml:space="preserve">Revoir au niveau national des dossiers déjà traités en RCP locale </w:t>
      </w:r>
      <w:r w:rsidR="007711A0" w:rsidRPr="00E72BF5">
        <w:t xml:space="preserve">post-génomique </w:t>
      </w:r>
      <w:r w:rsidR="00744C95" w:rsidRPr="00E72BF5">
        <w:t xml:space="preserve">mais dont les discussions ont été </w:t>
      </w:r>
      <w:r w:rsidRPr="00E72BF5">
        <w:t>non concluant</w:t>
      </w:r>
      <w:r w:rsidR="00744C95" w:rsidRPr="00E72BF5">
        <w:t>e</w:t>
      </w:r>
      <w:r w:rsidRPr="00E72BF5">
        <w:t>s</w:t>
      </w:r>
      <w:r w:rsidR="00D25F68" w:rsidRPr="00E72BF5">
        <w:t>.</w:t>
      </w:r>
    </w:p>
    <w:p w14:paraId="297A84DB" w14:textId="681FE261" w:rsidR="004F6F45" w:rsidRPr="00E72BF5" w:rsidRDefault="004F6F45" w:rsidP="00CE03C0">
      <w:pPr>
        <w:pStyle w:val="Paragraphedeliste"/>
        <w:numPr>
          <w:ilvl w:val="0"/>
          <w:numId w:val="6"/>
        </w:numPr>
        <w:ind w:left="284" w:hanging="284"/>
        <w:jc w:val="both"/>
      </w:pPr>
      <w:r w:rsidRPr="00E72BF5">
        <w:t>Proposer des pistes diagnostiques complémentaires</w:t>
      </w:r>
      <w:r w:rsidR="00D25F68" w:rsidRPr="00E72BF5">
        <w:t>.</w:t>
      </w:r>
    </w:p>
    <w:p w14:paraId="58FCAD3F" w14:textId="2A3C8A1E" w:rsidR="004F6F45" w:rsidRPr="00E72BF5" w:rsidRDefault="004F6F45" w:rsidP="00CE03C0">
      <w:pPr>
        <w:pStyle w:val="Paragraphedeliste"/>
        <w:numPr>
          <w:ilvl w:val="0"/>
          <w:numId w:val="6"/>
        </w:numPr>
        <w:ind w:left="284" w:hanging="284"/>
        <w:jc w:val="both"/>
      </w:pPr>
      <w:r w:rsidRPr="00E72BF5">
        <w:t>Suggérer des tests fonctionnels</w:t>
      </w:r>
      <w:r w:rsidR="00744C95" w:rsidRPr="00E72BF5">
        <w:t>,</w:t>
      </w:r>
      <w:r w:rsidRPr="00E72BF5">
        <w:t xml:space="preserve"> si disponibles</w:t>
      </w:r>
      <w:r w:rsidR="00744C95" w:rsidRPr="00E72BF5">
        <w:t>,</w:t>
      </w:r>
      <w:r w:rsidR="00D25F68" w:rsidRPr="00E72BF5">
        <w:t xml:space="preserve"> et mettre </w:t>
      </w:r>
      <w:r w:rsidRPr="00E72BF5">
        <w:t>en relation</w:t>
      </w:r>
      <w:r w:rsidR="00744C95" w:rsidRPr="00E72BF5">
        <w:t xml:space="preserve"> le clinicien et le généticien</w:t>
      </w:r>
      <w:r w:rsidRPr="00E72BF5">
        <w:t xml:space="preserve"> avec des chercheurs ou équipes </w:t>
      </w:r>
      <w:r w:rsidR="00744C95" w:rsidRPr="00E72BF5">
        <w:t xml:space="preserve">de recherche </w:t>
      </w:r>
      <w:r w:rsidRPr="00E72BF5">
        <w:t xml:space="preserve">pouvant mener </w:t>
      </w:r>
      <w:r w:rsidR="00744C95" w:rsidRPr="00E72BF5">
        <w:t xml:space="preserve">ces </w:t>
      </w:r>
      <w:r w:rsidRPr="00E72BF5">
        <w:t>études fonctionnelles</w:t>
      </w:r>
      <w:r w:rsidR="00D25F68" w:rsidRPr="00E72BF5">
        <w:t>.</w:t>
      </w:r>
    </w:p>
    <w:p w14:paraId="58305B00" w14:textId="77777777" w:rsidR="00744C95" w:rsidRPr="00E72BF5" w:rsidRDefault="00744C95" w:rsidP="00D25F68">
      <w:pPr>
        <w:jc w:val="both"/>
      </w:pPr>
    </w:p>
    <w:p w14:paraId="538EBE02" w14:textId="1666D145" w:rsidR="004F6F45" w:rsidRPr="00E72BF5" w:rsidRDefault="004F6F45" w:rsidP="004F6F45">
      <w:pPr>
        <w:pStyle w:val="Paragraphedeliste"/>
        <w:numPr>
          <w:ilvl w:val="0"/>
          <w:numId w:val="2"/>
        </w:numPr>
        <w:rPr>
          <w:b/>
          <w:bCs/>
        </w:rPr>
      </w:pPr>
      <w:r w:rsidRPr="00E72BF5">
        <w:rPr>
          <w:b/>
          <w:bCs/>
        </w:rPr>
        <w:t>Cadre et organisation de la RCP</w:t>
      </w:r>
    </w:p>
    <w:p w14:paraId="4C3F2616" w14:textId="68CD2A14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Durée</w:t>
      </w:r>
      <w:r w:rsidRPr="00E72BF5">
        <w:t xml:space="preserve"> : </w:t>
      </w:r>
      <w:r w:rsidR="00E72BF5">
        <w:t>2h</w:t>
      </w:r>
      <w:r w:rsidRPr="00E72BF5">
        <w:t xml:space="preserve"> par session</w:t>
      </w:r>
    </w:p>
    <w:p w14:paraId="7200C2BB" w14:textId="6F6CB0C4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Fréquence</w:t>
      </w:r>
      <w:r w:rsidRPr="00E72BF5">
        <w:t> : 3 fois par an</w:t>
      </w:r>
    </w:p>
    <w:p w14:paraId="49383020" w14:textId="44850234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Outil utilisé</w:t>
      </w:r>
      <w:r w:rsidRPr="00E72BF5">
        <w:t> : Plateforme ROFIM</w:t>
      </w:r>
    </w:p>
    <w:p w14:paraId="7EA120D6" w14:textId="55EB0882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Participants</w:t>
      </w:r>
      <w:r w:rsidRPr="00E72BF5">
        <w:t xml:space="preserve"> : cliniciens, généticiens, </w:t>
      </w:r>
      <w:r w:rsidR="00744C95" w:rsidRPr="00E72BF5">
        <w:t xml:space="preserve">et éventuellement, </w:t>
      </w:r>
      <w:r w:rsidRPr="00E72BF5">
        <w:t xml:space="preserve">chercheurs </w:t>
      </w:r>
    </w:p>
    <w:p w14:paraId="51FC123E" w14:textId="083AE1B5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Cas à discuter</w:t>
      </w:r>
      <w:r w:rsidRPr="00E72BF5">
        <w:t xml:space="preserve"> : </w:t>
      </w:r>
      <w:r w:rsidRPr="00E72BF5">
        <w:rPr>
          <w:b/>
        </w:rPr>
        <w:t xml:space="preserve">Dossiers non conclusifs en RCP locale avec </w:t>
      </w:r>
      <w:r w:rsidR="006A2FE7" w:rsidRPr="00E72BF5">
        <w:rPr>
          <w:b/>
        </w:rPr>
        <w:t xml:space="preserve">une </w:t>
      </w:r>
      <w:r w:rsidRPr="00E72BF5">
        <w:rPr>
          <w:b/>
        </w:rPr>
        <w:t>piste génétique soulevée</w:t>
      </w:r>
      <w:r w:rsidR="00A6026C" w:rsidRPr="00E72BF5">
        <w:rPr>
          <w:b/>
        </w:rPr>
        <w:t xml:space="preserve"> </w:t>
      </w:r>
      <w:r w:rsidR="00A6026C" w:rsidRPr="00E72BF5">
        <w:t>(Forme familiale, consanguinité, éléments cliniques très évocateurs…) malgré une étude de génome. En cas d’identification d’un variant de signification incertaine (VSI), une étude de ségrégation devra avoir été réalisée.</w:t>
      </w:r>
    </w:p>
    <w:p w14:paraId="51D91DC3" w14:textId="2A45DC30" w:rsidR="004F6F45" w:rsidRPr="00E72BF5" w:rsidRDefault="004F6F45" w:rsidP="0099446E">
      <w:pPr>
        <w:spacing w:after="120"/>
        <w:jc w:val="both"/>
      </w:pPr>
      <w:r w:rsidRPr="00E72BF5">
        <w:rPr>
          <w:u w:val="single"/>
        </w:rPr>
        <w:t>Transmission des cas </w:t>
      </w:r>
      <w:r w:rsidRPr="00E72BF5">
        <w:t>: Par les cliniciens via un tableau récapitulatif envoyé en amont</w:t>
      </w:r>
      <w:r w:rsidR="00597481" w:rsidRPr="00E72BF5">
        <w:t>.</w:t>
      </w:r>
    </w:p>
    <w:p w14:paraId="34117008" w14:textId="77777777" w:rsidR="00744C95" w:rsidRPr="00E72BF5" w:rsidRDefault="00744C95" w:rsidP="00D25F68">
      <w:pPr>
        <w:jc w:val="both"/>
      </w:pPr>
    </w:p>
    <w:p w14:paraId="2F4CB381" w14:textId="414055D8" w:rsidR="004F6F45" w:rsidRPr="00E72BF5" w:rsidRDefault="004F6F45" w:rsidP="00D25F68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72BF5">
        <w:rPr>
          <w:b/>
          <w:bCs/>
        </w:rPr>
        <w:t>Préparation avant la réunion</w:t>
      </w:r>
    </w:p>
    <w:p w14:paraId="7B347A2F" w14:textId="0D554673" w:rsidR="00C9631A" w:rsidRPr="00E72BF5" w:rsidRDefault="00B71982" w:rsidP="00D25F68">
      <w:pPr>
        <w:jc w:val="both"/>
        <w:rPr>
          <w:b/>
        </w:rPr>
      </w:pPr>
      <w:r w:rsidRPr="00E72BF5">
        <w:rPr>
          <w:u w:val="single"/>
        </w:rPr>
        <w:t>Envoi des dossiers</w:t>
      </w:r>
      <w:r w:rsidRPr="00E72BF5">
        <w:t xml:space="preserve"> : </w:t>
      </w:r>
      <w:r w:rsidR="00B71DE9" w:rsidRPr="00E72BF5">
        <w:t xml:space="preserve">Soumission </w:t>
      </w:r>
      <w:r w:rsidR="00C9631A" w:rsidRPr="00E72BF5">
        <w:t xml:space="preserve">des dossiers </w:t>
      </w:r>
      <w:r w:rsidR="00B71DE9" w:rsidRPr="00E72BF5">
        <w:t>via ROFIM</w:t>
      </w:r>
      <w:r w:rsidR="00C9631A" w:rsidRPr="00E72BF5">
        <w:t xml:space="preserve"> </w:t>
      </w:r>
      <w:r w:rsidR="00C9631A" w:rsidRPr="0099446E">
        <w:rPr>
          <w:b/>
          <w:u w:val="single"/>
        </w:rPr>
        <w:t xml:space="preserve">au moins </w:t>
      </w:r>
      <w:r w:rsidR="00B71DE9" w:rsidRPr="0099446E">
        <w:rPr>
          <w:b/>
          <w:u w:val="single"/>
        </w:rPr>
        <w:t>un mois</w:t>
      </w:r>
      <w:r w:rsidR="00C9631A" w:rsidRPr="0099446E">
        <w:rPr>
          <w:b/>
          <w:u w:val="single"/>
        </w:rPr>
        <w:t xml:space="preserve"> avant</w:t>
      </w:r>
      <w:r w:rsidR="00C9631A" w:rsidRPr="00E72BF5">
        <w:t xml:space="preserve"> la réunion</w:t>
      </w:r>
      <w:r w:rsidR="00B71DE9" w:rsidRPr="00E72BF5">
        <w:t>.</w:t>
      </w:r>
      <w:r w:rsidR="00A4754B" w:rsidRPr="00E72BF5">
        <w:t xml:space="preserve"> De préférence si un dossier a déjà été soumis en RCP, il pourra être transféré en ajoutant bien le </w:t>
      </w:r>
      <w:r w:rsidR="00A4754B" w:rsidRPr="00E72BF5">
        <w:rPr>
          <w:b/>
        </w:rPr>
        <w:t>résultat de l’analyse de génome, ségrégation et ensemble des nouveaux résultats.</w:t>
      </w:r>
    </w:p>
    <w:p w14:paraId="08EAF487" w14:textId="12AF4CC1" w:rsidR="00C9631A" w:rsidRPr="00E72BF5" w:rsidRDefault="00C9631A" w:rsidP="0099446E">
      <w:pPr>
        <w:spacing w:before="240"/>
        <w:jc w:val="both"/>
      </w:pPr>
      <w:r w:rsidRPr="00E72BF5">
        <w:rPr>
          <w:u w:val="single"/>
        </w:rPr>
        <w:t>Critères pour soumission de dossiers</w:t>
      </w:r>
      <w:r w:rsidRPr="00E72BF5">
        <w:t> </w:t>
      </w:r>
      <w:r w:rsidR="00A4754B" w:rsidRPr="00E72BF5">
        <w:t xml:space="preserve">(un dossier non complet ne pourra pas être analysé de façon efficace) </w:t>
      </w:r>
      <w:r w:rsidR="004D229C" w:rsidRPr="00E72BF5">
        <w:t>:</w:t>
      </w:r>
    </w:p>
    <w:p w14:paraId="6A204939" w14:textId="5D922E79" w:rsidR="00894E9F" w:rsidRPr="00E72BF5" w:rsidRDefault="00894E9F" w:rsidP="00D25F68">
      <w:pPr>
        <w:jc w:val="both"/>
      </w:pPr>
    </w:p>
    <w:p w14:paraId="4C0DBFF5" w14:textId="10812065" w:rsidR="003A1261" w:rsidRPr="00E72BF5" w:rsidRDefault="003B1568" w:rsidP="003B1568">
      <w:pPr>
        <w:pStyle w:val="Paragraphedeliste"/>
        <w:numPr>
          <w:ilvl w:val="0"/>
          <w:numId w:val="7"/>
        </w:numPr>
        <w:spacing w:after="240"/>
        <w:jc w:val="both"/>
      </w:pPr>
      <w:r w:rsidRPr="00E72BF5">
        <w:t>Données obligatoires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94E9F" w:rsidRPr="00E72BF5" w14:paraId="0791FEAA" w14:textId="77777777" w:rsidTr="00A84042">
        <w:tc>
          <w:tcPr>
            <w:tcW w:w="4528" w:type="dxa"/>
          </w:tcPr>
          <w:p w14:paraId="21126288" w14:textId="238A91CF" w:rsidR="00894E9F" w:rsidRPr="00E72BF5" w:rsidRDefault="00894E9F" w:rsidP="00A84042">
            <w:pPr>
              <w:jc w:val="both"/>
            </w:pPr>
            <w:r w:rsidRPr="00E72BF5">
              <w:t xml:space="preserve">Prescripteur </w:t>
            </w:r>
          </w:p>
        </w:tc>
        <w:tc>
          <w:tcPr>
            <w:tcW w:w="4528" w:type="dxa"/>
          </w:tcPr>
          <w:p w14:paraId="595AB300" w14:textId="77777777" w:rsidR="00894E9F" w:rsidRPr="00E72BF5" w:rsidRDefault="00894E9F" w:rsidP="00A84042">
            <w:pPr>
              <w:jc w:val="both"/>
            </w:pPr>
            <w:r w:rsidRPr="00E72BF5">
              <w:t>Nom, service/hôpital et adresse mail</w:t>
            </w:r>
          </w:p>
        </w:tc>
      </w:tr>
      <w:tr w:rsidR="00894E9F" w:rsidRPr="00E72BF5" w14:paraId="7988487F" w14:textId="77777777" w:rsidTr="00A84042">
        <w:tc>
          <w:tcPr>
            <w:tcW w:w="4528" w:type="dxa"/>
          </w:tcPr>
          <w:p w14:paraId="06E3764F" w14:textId="16086CB9" w:rsidR="00894E9F" w:rsidRPr="00E72BF5" w:rsidRDefault="00894E9F" w:rsidP="00A84042">
            <w:pPr>
              <w:jc w:val="both"/>
            </w:pPr>
            <w:r w:rsidRPr="00E72BF5">
              <w:t xml:space="preserve">Généticien </w:t>
            </w:r>
          </w:p>
        </w:tc>
        <w:tc>
          <w:tcPr>
            <w:tcW w:w="4528" w:type="dxa"/>
          </w:tcPr>
          <w:p w14:paraId="5F3E712A" w14:textId="77777777" w:rsidR="00894E9F" w:rsidRPr="00E72BF5" w:rsidRDefault="00894E9F" w:rsidP="00A84042">
            <w:pPr>
              <w:jc w:val="both"/>
            </w:pPr>
            <w:r w:rsidRPr="00E72BF5">
              <w:t>Nom, service/hôpital et adresse mail</w:t>
            </w:r>
          </w:p>
        </w:tc>
      </w:tr>
      <w:tr w:rsidR="00894E9F" w:rsidRPr="00E72BF5" w14:paraId="6DB94AA9" w14:textId="77777777" w:rsidTr="00A84042">
        <w:tc>
          <w:tcPr>
            <w:tcW w:w="4528" w:type="dxa"/>
          </w:tcPr>
          <w:p w14:paraId="7C523415" w14:textId="106AFC6E" w:rsidR="00894E9F" w:rsidRPr="00E72BF5" w:rsidRDefault="00894E9F" w:rsidP="00A84042">
            <w:pPr>
              <w:jc w:val="both"/>
            </w:pPr>
            <w:r w:rsidRPr="00E72BF5">
              <w:t xml:space="preserve">Identification de la RCP locale </w:t>
            </w:r>
          </w:p>
        </w:tc>
        <w:tc>
          <w:tcPr>
            <w:tcW w:w="4528" w:type="dxa"/>
          </w:tcPr>
          <w:p w14:paraId="78A504E2" w14:textId="1C81DEFC" w:rsidR="00894E9F" w:rsidRPr="00E72BF5" w:rsidRDefault="00E72BF5" w:rsidP="00A84042">
            <w:pPr>
              <w:jc w:val="both"/>
              <w:rPr>
                <w:iCs/>
              </w:rPr>
            </w:pPr>
            <w:r w:rsidRPr="00E72BF5">
              <w:rPr>
                <w:iCs/>
              </w:rPr>
              <w:t>Nom</w:t>
            </w:r>
          </w:p>
        </w:tc>
      </w:tr>
    </w:tbl>
    <w:p w14:paraId="43DA1989" w14:textId="77777777" w:rsidR="00894E9F" w:rsidRPr="00E72BF5" w:rsidRDefault="00894E9F" w:rsidP="00D25F68">
      <w:pPr>
        <w:jc w:val="both"/>
      </w:pPr>
    </w:p>
    <w:p w14:paraId="66C52E89" w14:textId="029963A9" w:rsidR="004D229C" w:rsidRPr="00E72BF5" w:rsidRDefault="003B1568" w:rsidP="00E72BF5">
      <w:pPr>
        <w:pStyle w:val="Paragraphedeliste"/>
        <w:numPr>
          <w:ilvl w:val="0"/>
          <w:numId w:val="7"/>
        </w:numPr>
        <w:jc w:val="both"/>
      </w:pPr>
      <w:r w:rsidRPr="00E72BF5">
        <w:t xml:space="preserve">Données complémentaires : </w:t>
      </w:r>
    </w:p>
    <w:p w14:paraId="7DF60EA7" w14:textId="111B8DC4" w:rsidR="00AE0917" w:rsidRPr="00F33139" w:rsidRDefault="003B1568" w:rsidP="00E72BF5">
      <w:pPr>
        <w:pStyle w:val="NormalWeb"/>
        <w:jc w:val="both"/>
        <w:rPr>
          <w:b/>
          <w:bCs/>
          <w:sz w:val="24"/>
          <w:szCs w:val="24"/>
        </w:rPr>
      </w:pPr>
      <w:r w:rsidRPr="00F33139">
        <w:rPr>
          <w:b/>
          <w:bCs/>
          <w:sz w:val="24"/>
          <w:szCs w:val="24"/>
        </w:rPr>
        <w:t xml:space="preserve">Ces éléments devront être disponibles lors de la RCP. </w:t>
      </w:r>
      <w:r w:rsidR="00AE0917" w:rsidRPr="00F33139">
        <w:rPr>
          <w:b/>
          <w:bCs/>
          <w:sz w:val="24"/>
          <w:szCs w:val="24"/>
        </w:rPr>
        <w:t>Il n’est pas obligatoire/nécessaire de (re)saisir dans ce tableau l’intégralité des éléments demandés, si vous transmettez les données issues d'une autre source.</w:t>
      </w:r>
    </w:p>
    <w:p w14:paraId="1E499EAC" w14:textId="77777777" w:rsidR="00AE0917" w:rsidRPr="00E72BF5" w:rsidRDefault="00AE0917" w:rsidP="00AE0917">
      <w:pPr>
        <w:pStyle w:val="NormalWeb"/>
        <w:rPr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4666"/>
      </w:tblGrid>
      <w:tr w:rsidR="004D229C" w:rsidRPr="00E72BF5" w14:paraId="0BD6BDC9" w14:textId="77777777" w:rsidTr="003B1568">
        <w:trPr>
          <w:tblHeader/>
        </w:trPr>
        <w:tc>
          <w:tcPr>
            <w:tcW w:w="4390" w:type="dxa"/>
            <w:vAlign w:val="center"/>
          </w:tcPr>
          <w:p w14:paraId="4FE7B9AC" w14:textId="296DFC9E" w:rsidR="004D229C" w:rsidRPr="00E72BF5" w:rsidRDefault="00A4754B" w:rsidP="003B1568">
            <w:pPr>
              <w:jc w:val="center"/>
              <w:rPr>
                <w:b/>
                <w:bCs/>
              </w:rPr>
            </w:pPr>
            <w:r w:rsidRPr="00E72BF5">
              <w:rPr>
                <w:b/>
                <w:bCs/>
              </w:rPr>
              <w:t>Check-list (à adapter au phénotype)</w:t>
            </w:r>
          </w:p>
        </w:tc>
        <w:tc>
          <w:tcPr>
            <w:tcW w:w="4666" w:type="dxa"/>
            <w:vAlign w:val="center"/>
          </w:tcPr>
          <w:p w14:paraId="07CAD840" w14:textId="3C7DB353" w:rsidR="004D229C" w:rsidRPr="00E72BF5" w:rsidRDefault="004D229C" w:rsidP="003B1568">
            <w:pPr>
              <w:jc w:val="center"/>
              <w:rPr>
                <w:b/>
                <w:bCs/>
              </w:rPr>
            </w:pPr>
            <w:r w:rsidRPr="00E72BF5">
              <w:rPr>
                <w:b/>
                <w:bCs/>
              </w:rPr>
              <w:t>Détails à fournir</w:t>
            </w:r>
          </w:p>
        </w:tc>
      </w:tr>
      <w:tr w:rsidR="0089035C" w:rsidRPr="00E72BF5" w14:paraId="7CB66BE1" w14:textId="77777777" w:rsidTr="003B1568">
        <w:tc>
          <w:tcPr>
            <w:tcW w:w="4390" w:type="dxa"/>
          </w:tcPr>
          <w:p w14:paraId="659AF7D0" w14:textId="4DC92E22" w:rsidR="0089035C" w:rsidRPr="00E72BF5" w:rsidRDefault="0089035C" w:rsidP="0089035C">
            <w:pPr>
              <w:jc w:val="both"/>
            </w:pPr>
            <w:r w:rsidRPr="00E72BF5">
              <w:t>Histoire de la maladie</w:t>
            </w:r>
          </w:p>
        </w:tc>
        <w:tc>
          <w:tcPr>
            <w:tcW w:w="4666" w:type="dxa"/>
          </w:tcPr>
          <w:p w14:paraId="0521CCB2" w14:textId="0A5193D5" w:rsidR="0089035C" w:rsidRPr="00E72BF5" w:rsidRDefault="0089035C" w:rsidP="0089035C">
            <w:pPr>
              <w:jc w:val="both"/>
            </w:pPr>
            <w:r w:rsidRPr="00E72BF5">
              <w:t>Description clinique détaillée</w:t>
            </w:r>
          </w:p>
        </w:tc>
      </w:tr>
      <w:tr w:rsidR="0089035C" w:rsidRPr="00E72BF5" w14:paraId="0CB8AC41" w14:textId="77777777" w:rsidTr="003B1568">
        <w:tc>
          <w:tcPr>
            <w:tcW w:w="4390" w:type="dxa"/>
          </w:tcPr>
          <w:p w14:paraId="7D557ECF" w14:textId="20E72883" w:rsidR="0089035C" w:rsidRPr="00E72BF5" w:rsidRDefault="0089035C" w:rsidP="009A78E9">
            <w:pPr>
              <w:jc w:val="both"/>
            </w:pPr>
            <w:r w:rsidRPr="00E72BF5">
              <w:t>Antécédents familiaux</w:t>
            </w:r>
            <w:r w:rsidR="009A78E9" w:rsidRPr="00E72BF5">
              <w:t xml:space="preserve"> (fournir un arbre</w:t>
            </w:r>
            <w:r w:rsidR="00400898" w:rsidRPr="00E72BF5">
              <w:t xml:space="preserve"> en précisant qui a été testé en WGS</w:t>
            </w:r>
            <w:r w:rsidR="009A78E9" w:rsidRPr="00E72BF5">
              <w:t>)</w:t>
            </w:r>
          </w:p>
        </w:tc>
        <w:tc>
          <w:tcPr>
            <w:tcW w:w="4666" w:type="dxa"/>
          </w:tcPr>
          <w:p w14:paraId="36DBF13C" w14:textId="77777777" w:rsidR="0089035C" w:rsidRPr="00E72BF5" w:rsidRDefault="0089035C" w:rsidP="0089035C">
            <w:pPr>
              <w:jc w:val="both"/>
            </w:pPr>
            <w:r w:rsidRPr="00E72BF5">
              <w:t>Hérédité, cas similaires dans la famille</w:t>
            </w:r>
          </w:p>
          <w:p w14:paraId="53EED6F1" w14:textId="06F5B3C7" w:rsidR="009454B7" w:rsidRPr="00E72BF5" w:rsidRDefault="009454B7" w:rsidP="0089035C">
            <w:pPr>
              <w:jc w:val="both"/>
              <w:rPr>
                <w:i/>
                <w:iCs/>
              </w:rPr>
            </w:pPr>
            <w:r w:rsidRPr="00E72BF5">
              <w:rPr>
                <w:i/>
                <w:iCs/>
                <w:sz w:val="22"/>
                <w:szCs w:val="22"/>
              </w:rPr>
              <w:t xml:space="preserve">Préciser </w:t>
            </w:r>
            <w:r w:rsidR="005B1C6E" w:rsidRPr="00E72BF5">
              <w:rPr>
                <w:i/>
                <w:iCs/>
                <w:sz w:val="22"/>
                <w:szCs w:val="22"/>
              </w:rPr>
              <w:t>les liens de parentés</w:t>
            </w:r>
            <w:r w:rsidRPr="00E72BF5">
              <w:rPr>
                <w:i/>
                <w:iCs/>
                <w:sz w:val="22"/>
                <w:szCs w:val="22"/>
              </w:rPr>
              <w:t xml:space="preserve"> et </w:t>
            </w:r>
            <w:r w:rsidR="005B1C6E" w:rsidRPr="00E72BF5">
              <w:rPr>
                <w:i/>
                <w:iCs/>
                <w:sz w:val="22"/>
                <w:szCs w:val="22"/>
              </w:rPr>
              <w:t>leurs atteintes</w:t>
            </w:r>
          </w:p>
        </w:tc>
      </w:tr>
      <w:tr w:rsidR="0089035C" w:rsidRPr="00E72BF5" w14:paraId="706556AA" w14:textId="77777777" w:rsidTr="003B1568">
        <w:tc>
          <w:tcPr>
            <w:tcW w:w="4390" w:type="dxa"/>
          </w:tcPr>
          <w:p w14:paraId="36F79064" w14:textId="456032DD" w:rsidR="0089035C" w:rsidRPr="00E72BF5" w:rsidRDefault="0089035C" w:rsidP="0089035C">
            <w:pPr>
              <w:jc w:val="both"/>
            </w:pPr>
            <w:r w:rsidRPr="00E72BF5">
              <w:t xml:space="preserve">Phénotype clinique </w:t>
            </w:r>
          </w:p>
        </w:tc>
        <w:tc>
          <w:tcPr>
            <w:tcW w:w="4666" w:type="dxa"/>
          </w:tcPr>
          <w:p w14:paraId="526B1083" w14:textId="4EC0CEF7" w:rsidR="0089035C" w:rsidRPr="00E72BF5" w:rsidRDefault="0089035C" w:rsidP="0089035C">
            <w:pPr>
              <w:jc w:val="both"/>
            </w:pPr>
            <w:r w:rsidRPr="00E72BF5">
              <w:t>Symptômes et manifestations observés</w:t>
            </w:r>
          </w:p>
        </w:tc>
      </w:tr>
      <w:tr w:rsidR="0089035C" w:rsidRPr="00E72BF5" w14:paraId="5B7D2FD9" w14:textId="77777777" w:rsidTr="003B1568">
        <w:tc>
          <w:tcPr>
            <w:tcW w:w="4390" w:type="dxa"/>
          </w:tcPr>
          <w:p w14:paraId="6D76A33C" w14:textId="7EEB711A" w:rsidR="0089035C" w:rsidRPr="00E72BF5" w:rsidRDefault="006A2FE7" w:rsidP="0089035C">
            <w:pPr>
              <w:jc w:val="both"/>
            </w:pPr>
            <w:r w:rsidRPr="00E72BF5">
              <w:t>CPK</w:t>
            </w:r>
            <w:r w:rsidR="00A4754B" w:rsidRPr="00E72BF5">
              <w:t>, bilan métabolique</w:t>
            </w:r>
          </w:p>
        </w:tc>
        <w:tc>
          <w:tcPr>
            <w:tcW w:w="4666" w:type="dxa"/>
          </w:tcPr>
          <w:p w14:paraId="7B6136B8" w14:textId="35632B9F" w:rsidR="0089035C" w:rsidRPr="00E72BF5" w:rsidRDefault="0089035C" w:rsidP="0089035C">
            <w:pPr>
              <w:jc w:val="both"/>
            </w:pPr>
          </w:p>
        </w:tc>
      </w:tr>
      <w:tr w:rsidR="0089035C" w:rsidRPr="00E72BF5" w14:paraId="3F38A9C3" w14:textId="77777777" w:rsidTr="003B1568">
        <w:tc>
          <w:tcPr>
            <w:tcW w:w="4390" w:type="dxa"/>
          </w:tcPr>
          <w:p w14:paraId="2455F7A2" w14:textId="48DE0219" w:rsidR="0089035C" w:rsidRPr="00E72BF5" w:rsidRDefault="0089035C" w:rsidP="0089035C">
            <w:pPr>
              <w:jc w:val="both"/>
            </w:pPr>
            <w:r w:rsidRPr="00E72BF5">
              <w:t>Imagerie</w:t>
            </w:r>
            <w:r w:rsidR="00A4754B" w:rsidRPr="00E72BF5">
              <w:t>, EMG…</w:t>
            </w:r>
            <w:r w:rsidR="003A1261" w:rsidRPr="00E72BF5">
              <w:t xml:space="preserve"> (selon phénotype)</w:t>
            </w:r>
          </w:p>
        </w:tc>
        <w:tc>
          <w:tcPr>
            <w:tcW w:w="4666" w:type="dxa"/>
          </w:tcPr>
          <w:p w14:paraId="1109C78A" w14:textId="24991A74" w:rsidR="0089035C" w:rsidRPr="00E72BF5" w:rsidRDefault="0089035C" w:rsidP="0089035C">
            <w:pPr>
              <w:jc w:val="both"/>
            </w:pPr>
            <w:r w:rsidRPr="00E72BF5">
              <w:t xml:space="preserve">IRM, </w:t>
            </w:r>
            <w:r w:rsidR="00A4754B" w:rsidRPr="00E72BF5">
              <w:t xml:space="preserve">spectro, </w:t>
            </w:r>
            <w:r w:rsidRPr="00E72BF5">
              <w:t>scanner</w:t>
            </w:r>
            <w:r w:rsidR="003A1261" w:rsidRPr="00E72BF5">
              <w:t>, EMG</w:t>
            </w:r>
            <w:r w:rsidR="003B1568" w:rsidRPr="00E72BF5">
              <w:t>,</w:t>
            </w:r>
            <w:r w:rsidR="003A1261" w:rsidRPr="00E72BF5">
              <w:t xml:space="preserve"> </w:t>
            </w:r>
            <w:r w:rsidR="00A4754B" w:rsidRPr="00E72BF5">
              <w:t>…</w:t>
            </w:r>
          </w:p>
        </w:tc>
      </w:tr>
      <w:tr w:rsidR="0089035C" w:rsidRPr="00E72BF5" w14:paraId="20B6CD06" w14:textId="77777777" w:rsidTr="003B1568">
        <w:tc>
          <w:tcPr>
            <w:tcW w:w="4390" w:type="dxa"/>
          </w:tcPr>
          <w:p w14:paraId="70629304" w14:textId="6A62BB75" w:rsidR="0089035C" w:rsidRPr="00E72BF5" w:rsidRDefault="0089035C" w:rsidP="0089035C">
            <w:pPr>
              <w:jc w:val="both"/>
            </w:pPr>
            <w:r w:rsidRPr="00E72BF5">
              <w:t>Anatomopathologie</w:t>
            </w:r>
          </w:p>
        </w:tc>
        <w:tc>
          <w:tcPr>
            <w:tcW w:w="4666" w:type="dxa"/>
          </w:tcPr>
          <w:p w14:paraId="10AEE5E9" w14:textId="4041D97B" w:rsidR="0089035C" w:rsidRPr="00E72BF5" w:rsidRDefault="0089035C" w:rsidP="0089035C">
            <w:pPr>
              <w:jc w:val="both"/>
            </w:pPr>
            <w:r w:rsidRPr="00E72BF5">
              <w:t>Résultats biopsies, examens histologiques</w:t>
            </w:r>
          </w:p>
        </w:tc>
      </w:tr>
      <w:tr w:rsidR="0089035C" w:rsidRPr="00E72BF5" w14:paraId="1BCE6D6E" w14:textId="77777777" w:rsidTr="003B1568">
        <w:tc>
          <w:tcPr>
            <w:tcW w:w="4390" w:type="dxa"/>
          </w:tcPr>
          <w:p w14:paraId="02529794" w14:textId="0A137550" w:rsidR="0089035C" w:rsidRPr="00E72BF5" w:rsidRDefault="0089035C" w:rsidP="0089035C">
            <w:pPr>
              <w:jc w:val="both"/>
            </w:pPr>
            <w:r w:rsidRPr="00E72BF5">
              <w:t xml:space="preserve">Préindication PFMG </w:t>
            </w:r>
          </w:p>
        </w:tc>
        <w:tc>
          <w:tcPr>
            <w:tcW w:w="4666" w:type="dxa"/>
          </w:tcPr>
          <w:p w14:paraId="358DCBC1" w14:textId="0EA5D084" w:rsidR="0089035C" w:rsidRPr="00E72BF5" w:rsidRDefault="00516E38" w:rsidP="0089035C">
            <w:pPr>
              <w:jc w:val="both"/>
            </w:pPr>
            <w:r w:rsidRPr="00E72BF5">
              <w:t xml:space="preserve">Compte rendu de l’analyse </w:t>
            </w:r>
          </w:p>
        </w:tc>
      </w:tr>
      <w:tr w:rsidR="0089035C" w:rsidRPr="00E72BF5" w14:paraId="1529F36B" w14:textId="77777777" w:rsidTr="003B1568">
        <w:tc>
          <w:tcPr>
            <w:tcW w:w="4390" w:type="dxa"/>
          </w:tcPr>
          <w:p w14:paraId="6220C701" w14:textId="0A3D1E04" w:rsidR="0089035C" w:rsidRPr="00E72BF5" w:rsidRDefault="0089035C" w:rsidP="0089035C">
            <w:pPr>
              <w:jc w:val="both"/>
            </w:pPr>
            <w:r w:rsidRPr="00E72BF5">
              <w:t>Données génétiques du cas index</w:t>
            </w:r>
            <w:r w:rsidR="00516E38" w:rsidRPr="00E72BF5">
              <w:t xml:space="preserve"> supplémentaires si variant non mentionné dans le compte rendu de génome</w:t>
            </w:r>
            <w:r w:rsidR="00165FA8" w:rsidRPr="00E72BF5">
              <w:t xml:space="preserve"> </w:t>
            </w:r>
          </w:p>
        </w:tc>
        <w:tc>
          <w:tcPr>
            <w:tcW w:w="4666" w:type="dxa"/>
          </w:tcPr>
          <w:p w14:paraId="1E7F4FED" w14:textId="3A4AC34A" w:rsidR="0089035C" w:rsidRPr="00E72BF5" w:rsidRDefault="0089035C" w:rsidP="0089035C">
            <w:pPr>
              <w:jc w:val="both"/>
            </w:pPr>
            <w:r w:rsidRPr="00E72BF5">
              <w:t>Position chromosomique, gène concerné, référence NM</w:t>
            </w:r>
            <w:r w:rsidR="00165FA8" w:rsidRPr="00E72BF5">
              <w:t>, statut homozygote, hétérozygote, de novo, classification ACMG (Données bases populationnelles (gnomAD), Score REVEL, Splice AI, autres prédictions…)</w:t>
            </w:r>
          </w:p>
        </w:tc>
      </w:tr>
      <w:tr w:rsidR="0089035C" w:rsidRPr="00E72BF5" w14:paraId="5F7AEA0E" w14:textId="77777777" w:rsidTr="003B1568">
        <w:tc>
          <w:tcPr>
            <w:tcW w:w="4390" w:type="dxa"/>
          </w:tcPr>
          <w:p w14:paraId="3F97A066" w14:textId="6CAF10AC" w:rsidR="0089035C" w:rsidRPr="00E72BF5" w:rsidRDefault="0089035C" w:rsidP="0089035C">
            <w:pPr>
              <w:jc w:val="both"/>
            </w:pPr>
            <w:r w:rsidRPr="00E72BF5">
              <w:t>Statut génétique</w:t>
            </w:r>
          </w:p>
        </w:tc>
        <w:tc>
          <w:tcPr>
            <w:tcW w:w="4666" w:type="dxa"/>
          </w:tcPr>
          <w:p w14:paraId="36F13B40" w14:textId="4E5F08FB" w:rsidR="0089035C" w:rsidRPr="00E72BF5" w:rsidRDefault="00B71DE9" w:rsidP="0089035C">
            <w:pPr>
              <w:jc w:val="both"/>
            </w:pPr>
            <w:r w:rsidRPr="00E72BF5">
              <w:t>Homozygote, Hétérozygote, de novo</w:t>
            </w:r>
          </w:p>
        </w:tc>
      </w:tr>
      <w:tr w:rsidR="0089035C" w:rsidRPr="00E72BF5" w14:paraId="4273F0BA" w14:textId="77777777" w:rsidTr="003B1568">
        <w:tc>
          <w:tcPr>
            <w:tcW w:w="4390" w:type="dxa"/>
          </w:tcPr>
          <w:p w14:paraId="30403F05" w14:textId="409418EA" w:rsidR="0089035C" w:rsidRPr="00E72BF5" w:rsidRDefault="0089035C" w:rsidP="0089035C">
            <w:pPr>
              <w:jc w:val="both"/>
            </w:pPr>
            <w:r w:rsidRPr="00E72BF5">
              <w:t>Statut phénotypique et génotypique des parents</w:t>
            </w:r>
          </w:p>
        </w:tc>
        <w:tc>
          <w:tcPr>
            <w:tcW w:w="4666" w:type="dxa"/>
          </w:tcPr>
          <w:p w14:paraId="2BBE66A1" w14:textId="3B801785" w:rsidR="0089035C" w:rsidRPr="00E72BF5" w:rsidRDefault="0089035C" w:rsidP="0089035C">
            <w:pPr>
              <w:jc w:val="both"/>
            </w:pPr>
            <w:r w:rsidRPr="00E72BF5">
              <w:t>Ségrégation familiale</w:t>
            </w:r>
            <w:r w:rsidR="00400898" w:rsidRPr="00E72BF5">
              <w:t xml:space="preserve"> </w:t>
            </w:r>
            <w:r w:rsidR="00E72BF5">
              <w:t>(Préciser si d’autres individus de la famille sont également accessibles)</w:t>
            </w:r>
          </w:p>
        </w:tc>
      </w:tr>
      <w:tr w:rsidR="0089035C" w:rsidRPr="00E72BF5" w14:paraId="0075DEC7" w14:textId="77777777" w:rsidTr="003B1568">
        <w:tc>
          <w:tcPr>
            <w:tcW w:w="4390" w:type="dxa"/>
          </w:tcPr>
          <w:p w14:paraId="17E2BD43" w14:textId="3D3EF1C6" w:rsidR="0089035C" w:rsidRPr="00E72BF5" w:rsidRDefault="0089035C" w:rsidP="0089035C">
            <w:pPr>
              <w:jc w:val="both"/>
            </w:pPr>
            <w:r w:rsidRPr="00E72BF5">
              <w:t>Prélèvement</w:t>
            </w:r>
            <w:r w:rsidR="009454B7" w:rsidRPr="00E72BF5">
              <w:t>(s)</w:t>
            </w:r>
            <w:r w:rsidRPr="00E72BF5">
              <w:t xml:space="preserve"> disponible</w:t>
            </w:r>
            <w:r w:rsidR="009454B7" w:rsidRPr="00E72BF5">
              <w:t>(s)</w:t>
            </w:r>
          </w:p>
        </w:tc>
        <w:tc>
          <w:tcPr>
            <w:tcW w:w="4666" w:type="dxa"/>
          </w:tcPr>
          <w:p w14:paraId="41AF00ED" w14:textId="388D5285" w:rsidR="0089035C" w:rsidRPr="00E72BF5" w:rsidRDefault="0089035C" w:rsidP="0089035C">
            <w:pPr>
              <w:jc w:val="both"/>
            </w:pPr>
            <w:r w:rsidRPr="00E72BF5">
              <w:t xml:space="preserve">Tissu, biopsie, </w:t>
            </w:r>
            <w:r w:rsidR="00A66DC1" w:rsidRPr="00E72BF5">
              <w:t>sang, …</w:t>
            </w:r>
          </w:p>
          <w:p w14:paraId="70838442" w14:textId="712DC056" w:rsidR="006A2FE7" w:rsidRPr="00E72BF5" w:rsidRDefault="006A2FE7" w:rsidP="0089035C">
            <w:pPr>
              <w:jc w:val="both"/>
              <w:rPr>
                <w:i/>
                <w:iCs/>
              </w:rPr>
            </w:pPr>
            <w:r w:rsidRPr="00E72BF5">
              <w:rPr>
                <w:i/>
                <w:iCs/>
                <w:sz w:val="22"/>
                <w:szCs w:val="22"/>
              </w:rPr>
              <w:t>Si échantillons disponibles préciser type et lieu</w:t>
            </w:r>
            <w:r w:rsidR="00B71DE9" w:rsidRPr="00E72BF5">
              <w:rPr>
                <w:i/>
                <w:iCs/>
                <w:sz w:val="22"/>
                <w:szCs w:val="22"/>
              </w:rPr>
              <w:t xml:space="preserve"> et préciser si possibilité d’utiliser pour la recherche</w:t>
            </w:r>
          </w:p>
        </w:tc>
      </w:tr>
      <w:tr w:rsidR="0089035C" w:rsidRPr="00E72BF5" w14:paraId="6CD4D4AE" w14:textId="77777777" w:rsidTr="003B1568">
        <w:tc>
          <w:tcPr>
            <w:tcW w:w="4390" w:type="dxa"/>
          </w:tcPr>
          <w:p w14:paraId="5A142BF0" w14:textId="59B8E7CD" w:rsidR="0089035C" w:rsidRPr="00E72BF5" w:rsidRDefault="0089035C" w:rsidP="0089035C">
            <w:pPr>
              <w:jc w:val="both"/>
            </w:pPr>
            <w:r w:rsidRPr="00E72BF5">
              <w:t>Analyses post-génomiques déjà réalisées</w:t>
            </w:r>
          </w:p>
        </w:tc>
        <w:tc>
          <w:tcPr>
            <w:tcW w:w="4666" w:type="dxa"/>
          </w:tcPr>
          <w:p w14:paraId="52E66C47" w14:textId="70A734C9" w:rsidR="0089035C" w:rsidRPr="00E72BF5" w:rsidRDefault="0089035C" w:rsidP="0089035C">
            <w:pPr>
              <w:jc w:val="both"/>
            </w:pPr>
            <w:r w:rsidRPr="00E72BF5">
              <w:t>Tests fonctionnels, transcriptomique</w:t>
            </w:r>
          </w:p>
        </w:tc>
      </w:tr>
      <w:tr w:rsidR="00A66DC1" w:rsidRPr="00E72BF5" w14:paraId="6055EEB7" w14:textId="77777777" w:rsidTr="003B1568">
        <w:tc>
          <w:tcPr>
            <w:tcW w:w="4390" w:type="dxa"/>
          </w:tcPr>
          <w:p w14:paraId="6C3CCC2A" w14:textId="7CF68465" w:rsidR="00A66DC1" w:rsidRPr="00E72BF5" w:rsidRDefault="00A66DC1" w:rsidP="00A66DC1">
            <w:pPr>
              <w:jc w:val="both"/>
            </w:pPr>
            <w:r w:rsidRPr="00E72BF5">
              <w:t>Laboratoire fondamental expert identifié</w:t>
            </w:r>
          </w:p>
        </w:tc>
        <w:tc>
          <w:tcPr>
            <w:tcW w:w="4666" w:type="dxa"/>
          </w:tcPr>
          <w:p w14:paraId="18421FBD" w14:textId="77777777" w:rsidR="00A66DC1" w:rsidRPr="00E72BF5" w:rsidRDefault="00A66DC1" w:rsidP="00A66DC1">
            <w:pPr>
              <w:jc w:val="both"/>
            </w:pPr>
            <w:r w:rsidRPr="00E72BF5">
              <w:t xml:space="preserve">Oui/Non </w:t>
            </w:r>
          </w:p>
          <w:p w14:paraId="737165A9" w14:textId="3BC851AE" w:rsidR="00A66DC1" w:rsidRPr="00E72BF5" w:rsidRDefault="00A66DC1" w:rsidP="00A66DC1">
            <w:pPr>
              <w:jc w:val="both"/>
            </w:pPr>
            <w:r w:rsidRPr="00E72BF5">
              <w:rPr>
                <w:i/>
                <w:iCs/>
                <w:sz w:val="22"/>
                <w:szCs w:val="22"/>
              </w:rPr>
              <w:t>Si oui, préciser contact et expertise associée au gène</w:t>
            </w:r>
          </w:p>
        </w:tc>
      </w:tr>
      <w:tr w:rsidR="00A66DC1" w:rsidRPr="00E72BF5" w14:paraId="403B7CE0" w14:textId="77777777" w:rsidTr="003B1568">
        <w:tc>
          <w:tcPr>
            <w:tcW w:w="4390" w:type="dxa"/>
          </w:tcPr>
          <w:p w14:paraId="668164D5" w14:textId="287FE1D3" w:rsidR="00A66DC1" w:rsidRPr="00E72BF5" w:rsidRDefault="00A66DC1" w:rsidP="00A66DC1">
            <w:pPr>
              <w:jc w:val="both"/>
            </w:pPr>
            <w:r w:rsidRPr="00E72BF5">
              <w:t>Modèle animal</w:t>
            </w:r>
            <w:r w:rsidR="00400898" w:rsidRPr="00E72BF5">
              <w:t>/cellulaire</w:t>
            </w:r>
            <w:r w:rsidRPr="00E72BF5">
              <w:t xml:space="preserve"> disponible</w:t>
            </w:r>
          </w:p>
        </w:tc>
        <w:tc>
          <w:tcPr>
            <w:tcW w:w="4666" w:type="dxa"/>
          </w:tcPr>
          <w:p w14:paraId="1B9C1063" w14:textId="77777777" w:rsidR="00A66DC1" w:rsidRPr="00E72BF5" w:rsidRDefault="00A66DC1" w:rsidP="00A66DC1">
            <w:pPr>
              <w:jc w:val="both"/>
            </w:pPr>
            <w:r w:rsidRPr="00E72BF5">
              <w:t xml:space="preserve">Oui/Non </w:t>
            </w:r>
          </w:p>
          <w:p w14:paraId="0D06280F" w14:textId="20A39767" w:rsidR="00A66DC1" w:rsidRPr="00E72BF5" w:rsidRDefault="00A66DC1" w:rsidP="00A66DC1">
            <w:pPr>
              <w:jc w:val="both"/>
            </w:pPr>
            <w:r w:rsidRPr="00E72BF5">
              <w:rPr>
                <w:i/>
                <w:iCs/>
                <w:sz w:val="22"/>
                <w:szCs w:val="22"/>
              </w:rPr>
              <w:t>Préciser type</w:t>
            </w:r>
          </w:p>
        </w:tc>
      </w:tr>
      <w:tr w:rsidR="00A66DC1" w:rsidRPr="00E72BF5" w14:paraId="172B99FC" w14:textId="77777777" w:rsidTr="0099446E">
        <w:trPr>
          <w:trHeight w:val="369"/>
        </w:trPr>
        <w:tc>
          <w:tcPr>
            <w:tcW w:w="4390" w:type="dxa"/>
          </w:tcPr>
          <w:p w14:paraId="5276EF80" w14:textId="6F231F75" w:rsidR="00A66DC1" w:rsidRPr="00E72BF5" w:rsidRDefault="00A66DC1" w:rsidP="00A66DC1">
            <w:pPr>
              <w:jc w:val="both"/>
            </w:pPr>
            <w:r w:rsidRPr="00E72BF5">
              <w:t>Appel à collaboration</w:t>
            </w:r>
          </w:p>
        </w:tc>
        <w:tc>
          <w:tcPr>
            <w:tcW w:w="4666" w:type="dxa"/>
          </w:tcPr>
          <w:p w14:paraId="0C0B1FDB" w14:textId="77777777" w:rsidR="00A66DC1" w:rsidRPr="00E72BF5" w:rsidRDefault="00A66DC1" w:rsidP="00A66DC1">
            <w:pPr>
              <w:jc w:val="both"/>
            </w:pPr>
            <w:r w:rsidRPr="00E72BF5">
              <w:t xml:space="preserve">Oui/Non </w:t>
            </w:r>
          </w:p>
          <w:p w14:paraId="37CEE4C8" w14:textId="4630CF53" w:rsidR="00A66DC1" w:rsidRPr="00E72BF5" w:rsidRDefault="00A66DC1" w:rsidP="00A66DC1">
            <w:pPr>
              <w:jc w:val="both"/>
              <w:rPr>
                <w:i/>
                <w:iCs/>
              </w:rPr>
            </w:pPr>
            <w:r w:rsidRPr="00E72BF5">
              <w:rPr>
                <w:i/>
                <w:iCs/>
                <w:sz w:val="22"/>
                <w:szCs w:val="22"/>
              </w:rPr>
              <w:t>Préciser type : genematcher, filière, plateforme ...</w:t>
            </w:r>
          </w:p>
        </w:tc>
      </w:tr>
    </w:tbl>
    <w:p w14:paraId="31CB124C" w14:textId="22920DB5" w:rsidR="00CE03C0" w:rsidRPr="00E72BF5" w:rsidRDefault="003B1568" w:rsidP="0099446E">
      <w:pPr>
        <w:spacing w:before="120"/>
        <w:jc w:val="both"/>
      </w:pPr>
      <w:r w:rsidRPr="00E72BF5">
        <w:t>L</w:t>
      </w:r>
      <w:r w:rsidR="00B71DE9" w:rsidRPr="00E72BF5">
        <w:t>es équipes seront informées par mail de la discussion de leur dossier soumis</w:t>
      </w:r>
      <w:r w:rsidR="00CE03C0" w:rsidRPr="00E72BF5">
        <w:t>. Si possible, des chercheurs identifiés en amont de cette réunion pourront être conviés également afin qu’ils prennent part aux discussions.</w:t>
      </w:r>
    </w:p>
    <w:p w14:paraId="13E829AA" w14:textId="77777777" w:rsidR="00CE03C0" w:rsidRPr="00E72BF5" w:rsidRDefault="00CE03C0" w:rsidP="00CE03C0">
      <w:pPr>
        <w:jc w:val="both"/>
        <w:rPr>
          <w:b/>
          <w:bCs/>
        </w:rPr>
      </w:pPr>
    </w:p>
    <w:p w14:paraId="45003D77" w14:textId="57A3CE00" w:rsidR="00C9631A" w:rsidRPr="00E72BF5" w:rsidRDefault="005B3FA7" w:rsidP="00D25F68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72BF5">
        <w:rPr>
          <w:b/>
          <w:bCs/>
        </w:rPr>
        <w:t>Déroulement de la réunion</w:t>
      </w:r>
    </w:p>
    <w:p w14:paraId="16C34B3E" w14:textId="29CE3935" w:rsidR="005B3FA7" w:rsidRPr="00E72BF5" w:rsidRDefault="005B3FA7" w:rsidP="0099446E">
      <w:pPr>
        <w:spacing w:after="120"/>
        <w:jc w:val="both"/>
      </w:pPr>
      <w:r w:rsidRPr="00E72BF5">
        <w:rPr>
          <w:u w:val="single"/>
        </w:rPr>
        <w:t>Introduction</w:t>
      </w:r>
      <w:r w:rsidRPr="00E72BF5">
        <w:t xml:space="preserve"> : brève présentation flash </w:t>
      </w:r>
      <w:r w:rsidR="00D65DFC" w:rsidRPr="00E72BF5">
        <w:t>de diagnostics atypiques ou nouveaux cas intéressants</w:t>
      </w:r>
      <w:r w:rsidR="00D25F68" w:rsidRPr="00E72BF5">
        <w:t>.</w:t>
      </w:r>
      <w:r w:rsidR="00D65DFC" w:rsidRPr="00E72BF5">
        <w:t xml:space="preserve"> </w:t>
      </w:r>
    </w:p>
    <w:p w14:paraId="29FB5CBA" w14:textId="5E0EB866" w:rsidR="00B50B49" w:rsidRPr="00E72BF5" w:rsidRDefault="00D65DFC" w:rsidP="0099446E">
      <w:pPr>
        <w:spacing w:after="120"/>
        <w:jc w:val="both"/>
      </w:pPr>
      <w:r w:rsidRPr="00E72BF5">
        <w:rPr>
          <w:u w:val="single"/>
        </w:rPr>
        <w:t>Discussion des cas</w:t>
      </w:r>
      <w:r w:rsidRPr="00E72BF5">
        <w:t> :</w:t>
      </w:r>
      <w:r w:rsidR="00B50B49" w:rsidRPr="00E72BF5">
        <w:t xml:space="preserve"> chaque cas est présenté par le clinicien prescripteur avec </w:t>
      </w:r>
      <w:r w:rsidR="00A66DC1" w:rsidRPr="00E72BF5">
        <w:t xml:space="preserve">un </w:t>
      </w:r>
      <w:r w:rsidR="00B50B49" w:rsidRPr="00E72BF5">
        <w:t>résumé des éléments cliniques, génétiques, et analyses réalisées. Les participants discutent des pistes diagnostiques, tests complémentaires et possibilités de recherche fonctionnelle.</w:t>
      </w:r>
    </w:p>
    <w:p w14:paraId="21D6E97C" w14:textId="35EDE515" w:rsidR="00A66DC1" w:rsidRDefault="00B50B49" w:rsidP="0099446E">
      <w:pPr>
        <w:jc w:val="both"/>
      </w:pPr>
      <w:r w:rsidRPr="00E72BF5">
        <w:rPr>
          <w:u w:val="single"/>
        </w:rPr>
        <w:t>Synthèse</w:t>
      </w:r>
      <w:r w:rsidRPr="00E72BF5">
        <w:t> : identification des équipes de recherche potentielles et mise en relation avec les cliniciens</w:t>
      </w:r>
      <w:r w:rsidR="00A66DC1" w:rsidRPr="00E72BF5">
        <w:t>, afin d’éventuellement réaliser des tests fonctionnels</w:t>
      </w:r>
      <w:r w:rsidRPr="00E72BF5">
        <w:t>. Proposition des actions à mener</w:t>
      </w:r>
      <w:r w:rsidR="00D25F68" w:rsidRPr="00E72BF5">
        <w:t>.</w:t>
      </w:r>
    </w:p>
    <w:p w14:paraId="027A17BF" w14:textId="77777777" w:rsidR="0099446E" w:rsidRPr="00E72BF5" w:rsidRDefault="0099446E" w:rsidP="0099446E">
      <w:pPr>
        <w:jc w:val="both"/>
      </w:pPr>
    </w:p>
    <w:p w14:paraId="3ADD6F23" w14:textId="77777777" w:rsidR="0099446E" w:rsidRDefault="0099446E">
      <w:pPr>
        <w:rPr>
          <w:b/>
          <w:bCs/>
        </w:rPr>
      </w:pPr>
      <w:r>
        <w:rPr>
          <w:b/>
          <w:bCs/>
        </w:rPr>
        <w:br w:type="page"/>
      </w:r>
    </w:p>
    <w:p w14:paraId="73554E82" w14:textId="569F5DC7" w:rsidR="00B50B49" w:rsidRPr="00E72BF5" w:rsidRDefault="00B50B49" w:rsidP="00597481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72BF5">
        <w:rPr>
          <w:b/>
          <w:bCs/>
        </w:rPr>
        <w:lastRenderedPageBreak/>
        <w:t>Suivi post-RCP</w:t>
      </w:r>
      <w:r w:rsidR="00CE03C0" w:rsidRPr="00E72BF5">
        <w:rPr>
          <w:b/>
          <w:bCs/>
        </w:rPr>
        <w:t xml:space="preserve"> par l’équipe organisatrice</w:t>
      </w:r>
    </w:p>
    <w:p w14:paraId="6F0C504C" w14:textId="7398BA67" w:rsidR="00B50B49" w:rsidRPr="00E72BF5" w:rsidRDefault="00B50B49" w:rsidP="00597481">
      <w:pPr>
        <w:jc w:val="both"/>
      </w:pPr>
      <w:r w:rsidRPr="00E72BF5">
        <w:t xml:space="preserve">Mise à jour </w:t>
      </w:r>
      <w:r w:rsidR="00DC22C2" w:rsidRPr="00E72BF5">
        <w:t>du tableau de suivi de la RCP</w:t>
      </w:r>
      <w:r w:rsidRPr="00E72BF5">
        <w:t xml:space="preserve"> pour extraction future de cas similaires. </w:t>
      </w:r>
    </w:p>
    <w:p w14:paraId="6C2E23BE" w14:textId="77777777" w:rsidR="00A66DC1" w:rsidRPr="00E72BF5" w:rsidRDefault="00A66DC1" w:rsidP="00597481">
      <w:pPr>
        <w:jc w:val="both"/>
      </w:pPr>
    </w:p>
    <w:p w14:paraId="5D1B4691" w14:textId="41347C60" w:rsidR="00B50B49" w:rsidRPr="00E72BF5" w:rsidRDefault="00B50B49" w:rsidP="00597481">
      <w:pPr>
        <w:pStyle w:val="Paragraphedeliste"/>
        <w:numPr>
          <w:ilvl w:val="0"/>
          <w:numId w:val="2"/>
        </w:numPr>
        <w:jc w:val="both"/>
        <w:rPr>
          <w:b/>
          <w:bCs/>
        </w:rPr>
      </w:pPr>
      <w:r w:rsidRPr="00E72BF5">
        <w:rPr>
          <w:b/>
          <w:bCs/>
        </w:rPr>
        <w:t>Bonnes pratiques</w:t>
      </w:r>
    </w:p>
    <w:p w14:paraId="3EB9CC68" w14:textId="5148EE80" w:rsidR="00A66DC1" w:rsidRPr="00E72BF5" w:rsidRDefault="00A66DC1" w:rsidP="003B1568">
      <w:pPr>
        <w:spacing w:after="240"/>
        <w:jc w:val="both"/>
      </w:pPr>
      <w:r w:rsidRPr="00E72BF5">
        <w:t xml:space="preserve">Transmission de cas discutés en RCP locale et </w:t>
      </w:r>
      <w:r w:rsidR="00452E6A" w:rsidRPr="00E72BF5">
        <w:t xml:space="preserve">dont les </w:t>
      </w:r>
      <w:r w:rsidRPr="00E72BF5">
        <w:t xml:space="preserve">discussions </w:t>
      </w:r>
      <w:r w:rsidR="00452E6A" w:rsidRPr="00E72BF5">
        <w:t xml:space="preserve">ont été </w:t>
      </w:r>
      <w:r w:rsidRPr="00E72BF5">
        <w:t>non conclusives</w:t>
      </w:r>
      <w:r w:rsidR="00BE7398" w:rsidRPr="00E72BF5">
        <w:t>.</w:t>
      </w:r>
    </w:p>
    <w:p w14:paraId="750F8224" w14:textId="411E33E6" w:rsidR="00B50B49" w:rsidRPr="00E72BF5" w:rsidRDefault="00B50B49" w:rsidP="003B1568">
      <w:pPr>
        <w:spacing w:after="240"/>
        <w:jc w:val="both"/>
      </w:pPr>
      <w:r w:rsidRPr="00E72BF5">
        <w:t xml:space="preserve">S’assurer que le dossier est complet et à jour avant soumission. </w:t>
      </w:r>
    </w:p>
    <w:p w14:paraId="3F9367F3" w14:textId="3E42A5AC" w:rsidR="00B50B49" w:rsidRPr="00E72BF5" w:rsidRDefault="00B50B49" w:rsidP="003B1568">
      <w:pPr>
        <w:spacing w:after="240"/>
        <w:jc w:val="both"/>
      </w:pPr>
      <w:r w:rsidRPr="00E72BF5">
        <w:t>Fournir toutes les données nécessaires à la discussion pour éviter des retards</w:t>
      </w:r>
      <w:r w:rsidR="00452E6A" w:rsidRPr="00E72BF5">
        <w:t xml:space="preserve"> (</w:t>
      </w:r>
      <w:r w:rsidR="00165FA8" w:rsidRPr="00E72BF5">
        <w:t xml:space="preserve">ROFIM à remplir </w:t>
      </w:r>
      <w:r w:rsidR="00452E6A" w:rsidRPr="00E72BF5">
        <w:t xml:space="preserve">au moins </w:t>
      </w:r>
      <w:r w:rsidR="00B71DE9" w:rsidRPr="00E72BF5">
        <w:t>un mois</w:t>
      </w:r>
      <w:r w:rsidR="00452E6A" w:rsidRPr="00E72BF5">
        <w:t xml:space="preserve"> avant la réunion)</w:t>
      </w:r>
      <w:r w:rsidRPr="00E72BF5">
        <w:t xml:space="preserve">. </w:t>
      </w:r>
    </w:p>
    <w:p w14:paraId="33A9C636" w14:textId="3EF41127" w:rsidR="00B50B49" w:rsidRPr="00E72BF5" w:rsidRDefault="00A66DC1" w:rsidP="003B1568">
      <w:pPr>
        <w:spacing w:after="240"/>
        <w:jc w:val="both"/>
      </w:pPr>
      <w:r w:rsidRPr="00E72BF5">
        <w:t>Être présent lors de la réunion et p</w:t>
      </w:r>
      <w:r w:rsidR="00B50B49" w:rsidRPr="00E72BF5">
        <w:t xml:space="preserve">articiper activement à la discussion en apportant </w:t>
      </w:r>
      <w:r w:rsidRPr="00E72BF5">
        <w:t xml:space="preserve">une </w:t>
      </w:r>
      <w:r w:rsidR="00B50B49" w:rsidRPr="00E72BF5">
        <w:t xml:space="preserve">expertise clinique et génétique. </w:t>
      </w:r>
    </w:p>
    <w:p w14:paraId="288B97D7" w14:textId="29EA83EB" w:rsidR="00B50B49" w:rsidRPr="00E72BF5" w:rsidRDefault="00B50B49" w:rsidP="003B1568">
      <w:pPr>
        <w:spacing w:after="240"/>
        <w:jc w:val="both"/>
      </w:pPr>
      <w:r w:rsidRPr="00E72BF5">
        <w:t xml:space="preserve">Respecter le cadre national et les échéances </w:t>
      </w:r>
      <w:r w:rsidR="00D80099" w:rsidRPr="00E72BF5">
        <w:t>de transmission des dossiers.</w:t>
      </w:r>
    </w:p>
    <w:p w14:paraId="3BBD00B7" w14:textId="1DDA8EDA" w:rsidR="004B44BD" w:rsidRDefault="00D80099" w:rsidP="003B1568">
      <w:pPr>
        <w:spacing w:after="240"/>
        <w:jc w:val="both"/>
      </w:pPr>
      <w:r w:rsidRPr="00E72BF5">
        <w:t>Encourager la collaboration entre cliniciens et chercheurs.</w:t>
      </w:r>
      <w:r>
        <w:t xml:space="preserve"> </w:t>
      </w:r>
    </w:p>
    <w:sectPr w:rsidR="004B44BD" w:rsidSect="004B44BD">
      <w:headerReference w:type="default" r:id="rId7"/>
      <w:footerReference w:type="default" r:id="rId8"/>
      <w:pgSz w:w="11900" w:h="16840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BDD4" w14:textId="77777777" w:rsidR="0099418D" w:rsidRDefault="0099418D" w:rsidP="00744C95">
      <w:r>
        <w:separator/>
      </w:r>
    </w:p>
  </w:endnote>
  <w:endnote w:type="continuationSeparator" w:id="0">
    <w:p w14:paraId="0457E571" w14:textId="77777777" w:rsidR="0099418D" w:rsidRDefault="0099418D" w:rsidP="0074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997208"/>
      <w:docPartObj>
        <w:docPartGallery w:val="Page Numbers (Bottom of Page)"/>
        <w:docPartUnique/>
      </w:docPartObj>
    </w:sdtPr>
    <w:sdtEndPr/>
    <w:sdtContent>
      <w:p w14:paraId="444EE00B" w14:textId="27C6C4EC" w:rsidR="00BE7398" w:rsidRPr="0099446E" w:rsidRDefault="0099446E" w:rsidP="0099446E">
        <w:pPr>
          <w:rPr>
            <w:b/>
            <w:bCs/>
            <w:sz w:val="20"/>
            <w:szCs w:val="28"/>
          </w:rPr>
        </w:pPr>
        <w:r w:rsidRPr="0099446E">
          <w:rPr>
            <w:bCs/>
            <w:sz w:val="22"/>
            <w:szCs w:val="28"/>
          </w:rPr>
          <w:t>Guide de fonctionnement RCP post-génomique Filnemus</w:t>
        </w:r>
        <w:r>
          <w:rPr>
            <w:bCs/>
            <w:sz w:val="22"/>
            <w:szCs w:val="28"/>
          </w:rPr>
          <w:t>_20260219</w:t>
        </w:r>
        <w:r w:rsidRPr="0099446E">
          <w:rPr>
            <w:bCs/>
            <w:sz w:val="22"/>
            <w:szCs w:val="28"/>
          </w:rPr>
          <w:tab/>
        </w:r>
        <w:r>
          <w:rPr>
            <w:b/>
            <w:bCs/>
            <w:sz w:val="20"/>
            <w:szCs w:val="28"/>
          </w:rPr>
          <w:tab/>
        </w:r>
        <w:r>
          <w:rPr>
            <w:b/>
            <w:bCs/>
            <w:sz w:val="20"/>
            <w:szCs w:val="28"/>
          </w:rPr>
          <w:tab/>
        </w:r>
        <w:r w:rsidR="00BE7398">
          <w:fldChar w:fldCharType="begin"/>
        </w:r>
        <w:r w:rsidR="00BE7398">
          <w:instrText>PAGE   \* MERGEFORMAT</w:instrText>
        </w:r>
        <w:r w:rsidR="00BE7398">
          <w:fldChar w:fldCharType="separate"/>
        </w:r>
        <w:r w:rsidR="00BE7398">
          <w:t>2</w:t>
        </w:r>
        <w:r w:rsidR="00BE7398">
          <w:fldChar w:fldCharType="end"/>
        </w:r>
      </w:p>
    </w:sdtContent>
  </w:sdt>
  <w:p w14:paraId="26FF54A5" w14:textId="77777777" w:rsidR="00BE7398" w:rsidRDefault="00BE73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D9F0" w14:textId="77777777" w:rsidR="0099418D" w:rsidRDefault="0099418D" w:rsidP="00744C95">
      <w:r>
        <w:separator/>
      </w:r>
    </w:p>
  </w:footnote>
  <w:footnote w:type="continuationSeparator" w:id="0">
    <w:p w14:paraId="08244D53" w14:textId="77777777" w:rsidR="0099418D" w:rsidRDefault="0099418D" w:rsidP="00744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96FC" w14:textId="0B3C7A83" w:rsidR="00744C95" w:rsidRDefault="00744C95" w:rsidP="0099446E">
    <w:pPr>
      <w:pStyle w:val="En-tte"/>
      <w:jc w:val="center"/>
    </w:pPr>
    <w:r w:rsidRPr="006E3BF2">
      <w:rPr>
        <w:rFonts w:ascii="Times New Roman" w:eastAsia="Times New Roman" w:hAnsi="Times New Roman" w:cs="Times New Roman"/>
        <w:noProof/>
        <w:lang w:eastAsia="fr-FR"/>
      </w:rPr>
      <w:drawing>
        <wp:inline distT="0" distB="0" distL="0" distR="0" wp14:anchorId="2A34B83A" wp14:editId="623B7CBA">
          <wp:extent cx="1688369" cy="762000"/>
          <wp:effectExtent l="0" t="0" r="7620" b="0"/>
          <wp:docPr id="2" name="Image 2" descr="Filnem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nem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915" cy="7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F0DB9"/>
    <w:multiLevelType w:val="hybridMultilevel"/>
    <w:tmpl w:val="D9BED894"/>
    <w:lvl w:ilvl="0" w:tplc="36B05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A05002"/>
    <w:multiLevelType w:val="multilevel"/>
    <w:tmpl w:val="2CC8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8D2C06"/>
    <w:multiLevelType w:val="multilevel"/>
    <w:tmpl w:val="1AA4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516A5"/>
    <w:multiLevelType w:val="hybridMultilevel"/>
    <w:tmpl w:val="01985C72"/>
    <w:lvl w:ilvl="0" w:tplc="F740F1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256AD9"/>
    <w:multiLevelType w:val="hybridMultilevel"/>
    <w:tmpl w:val="B8065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00149"/>
    <w:multiLevelType w:val="multilevel"/>
    <w:tmpl w:val="EC261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06085"/>
    <w:multiLevelType w:val="hybridMultilevel"/>
    <w:tmpl w:val="12C0CA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BF2"/>
    <w:rsid w:val="0005787B"/>
    <w:rsid w:val="0006608C"/>
    <w:rsid w:val="000C00E3"/>
    <w:rsid w:val="001329C9"/>
    <w:rsid w:val="00165FA8"/>
    <w:rsid w:val="00212D30"/>
    <w:rsid w:val="00272955"/>
    <w:rsid w:val="002F0107"/>
    <w:rsid w:val="00316460"/>
    <w:rsid w:val="003615C3"/>
    <w:rsid w:val="003A1261"/>
    <w:rsid w:val="003B1568"/>
    <w:rsid w:val="00400898"/>
    <w:rsid w:val="00452489"/>
    <w:rsid w:val="00452E6A"/>
    <w:rsid w:val="00495B25"/>
    <w:rsid w:val="004B44BD"/>
    <w:rsid w:val="004D229C"/>
    <w:rsid w:val="004F6F45"/>
    <w:rsid w:val="00516E38"/>
    <w:rsid w:val="00526A9D"/>
    <w:rsid w:val="005414FA"/>
    <w:rsid w:val="0059600E"/>
    <w:rsid w:val="00597481"/>
    <w:rsid w:val="005B1C6E"/>
    <w:rsid w:val="005B3FA7"/>
    <w:rsid w:val="00612FA8"/>
    <w:rsid w:val="006A2FE7"/>
    <w:rsid w:val="006E3BF2"/>
    <w:rsid w:val="006E5E20"/>
    <w:rsid w:val="00744C95"/>
    <w:rsid w:val="007711A0"/>
    <w:rsid w:val="008307BF"/>
    <w:rsid w:val="0086005A"/>
    <w:rsid w:val="0089035C"/>
    <w:rsid w:val="00894E9F"/>
    <w:rsid w:val="008E0653"/>
    <w:rsid w:val="008E4A76"/>
    <w:rsid w:val="009454B7"/>
    <w:rsid w:val="0099418D"/>
    <w:rsid w:val="0099446E"/>
    <w:rsid w:val="009A78E9"/>
    <w:rsid w:val="00A35C93"/>
    <w:rsid w:val="00A4754B"/>
    <w:rsid w:val="00A6026C"/>
    <w:rsid w:val="00A66DC1"/>
    <w:rsid w:val="00AE0917"/>
    <w:rsid w:val="00AE1FB5"/>
    <w:rsid w:val="00B0037B"/>
    <w:rsid w:val="00B32AB1"/>
    <w:rsid w:val="00B45982"/>
    <w:rsid w:val="00B50B49"/>
    <w:rsid w:val="00B71982"/>
    <w:rsid w:val="00B71DE9"/>
    <w:rsid w:val="00BD0BD5"/>
    <w:rsid w:val="00BE7398"/>
    <w:rsid w:val="00C00A18"/>
    <w:rsid w:val="00C60747"/>
    <w:rsid w:val="00C9631A"/>
    <w:rsid w:val="00CC4A74"/>
    <w:rsid w:val="00CE03C0"/>
    <w:rsid w:val="00D11239"/>
    <w:rsid w:val="00D25F68"/>
    <w:rsid w:val="00D5189D"/>
    <w:rsid w:val="00D65DFC"/>
    <w:rsid w:val="00D80099"/>
    <w:rsid w:val="00DC22C2"/>
    <w:rsid w:val="00DF3F9F"/>
    <w:rsid w:val="00E72BF5"/>
    <w:rsid w:val="00EF4E1A"/>
    <w:rsid w:val="00F33139"/>
    <w:rsid w:val="00F76422"/>
    <w:rsid w:val="00F848CF"/>
    <w:rsid w:val="00FE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90E564"/>
  <w15:chartTrackingRefBased/>
  <w15:docId w15:val="{7A0B561D-BAFC-A24D-B996-1DE956A2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3BF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3BF2"/>
    <w:rPr>
      <w:rFonts w:ascii="Times New Roman" w:hAnsi="Times New Roman" w:cs="Times New Roman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6F45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744C9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44C9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44C9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44C9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44C9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744C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44C95"/>
  </w:style>
  <w:style w:type="paragraph" w:styleId="Pieddepage">
    <w:name w:val="footer"/>
    <w:basedOn w:val="Normal"/>
    <w:link w:val="PieddepageCar"/>
    <w:uiPriority w:val="99"/>
    <w:unhideWhenUsed/>
    <w:rsid w:val="00744C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4C95"/>
  </w:style>
  <w:style w:type="paragraph" w:styleId="Rvision">
    <w:name w:val="Revision"/>
    <w:hidden/>
    <w:uiPriority w:val="99"/>
    <w:semiHidden/>
    <w:rsid w:val="00CC4A74"/>
  </w:style>
  <w:style w:type="paragraph" w:styleId="NormalWeb">
    <w:name w:val="Normal (Web)"/>
    <w:basedOn w:val="Normal"/>
    <w:uiPriority w:val="99"/>
    <w:semiHidden/>
    <w:unhideWhenUsed/>
    <w:rsid w:val="00AE0917"/>
    <w:rPr>
      <w:rFonts w:ascii="Calibri" w:hAnsi="Calibri" w:cs="Calibri"/>
      <w:sz w:val="22"/>
      <w:szCs w:val="2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Pion</dc:creator>
  <cp:keywords/>
  <dc:description/>
  <cp:lastModifiedBy>PASERO Sandra</cp:lastModifiedBy>
  <cp:revision>3</cp:revision>
  <dcterms:created xsi:type="dcterms:W3CDTF">2026-03-20T13:43:00Z</dcterms:created>
  <dcterms:modified xsi:type="dcterms:W3CDTF">2026-03-20T17:07:00Z</dcterms:modified>
</cp:coreProperties>
</file>